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sz w:val="24"/>
          <w:szCs w:val="24"/>
        </w:rPr>
      </w:pPr>
      <w:r w:rsidDel="00000000" w:rsidR="00000000" w:rsidRPr="00000000">
        <w:rPr>
          <w:sz w:val="24"/>
          <w:szCs w:val="24"/>
        </w:rPr>
        <w:drawing>
          <wp:inline distB="114300" distT="114300" distL="114300" distR="114300">
            <wp:extent cx="2454120" cy="1022008"/>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54120" cy="102200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both"/>
        <w:rPr>
          <w:i w:val="1"/>
          <w:shd w:fill="b6d7a8" w:val="clear"/>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r>
    </w:p>
    <w:p w:rsidR="00000000" w:rsidDel="00000000" w:rsidP="00000000" w:rsidRDefault="00000000" w:rsidRPr="00000000" w14:paraId="00000004">
      <w:pPr>
        <w:pStyle w:val="Heading2"/>
        <w:spacing w:after="0" w:before="40" w:line="259" w:lineRule="auto"/>
        <w:jc w:val="both"/>
        <w:rPr>
          <w:rFonts w:ascii="Calibri" w:cs="Calibri" w:eastAsia="Calibri" w:hAnsi="Calibri"/>
          <w:b w:val="1"/>
          <w:sz w:val="22"/>
          <w:szCs w:val="22"/>
        </w:rPr>
      </w:pPr>
      <w:bookmarkStart w:colFirst="0" w:colLast="0" w:name="_1y810tw" w:id="0"/>
      <w:bookmarkEnd w:id="0"/>
      <w:r w:rsidDel="00000000" w:rsidR="00000000" w:rsidRPr="00000000">
        <w:rPr>
          <w:rFonts w:ascii="Calibri" w:cs="Calibri" w:eastAsia="Calibri" w:hAnsi="Calibri"/>
          <w:b w:val="1"/>
          <w:sz w:val="22"/>
          <w:szCs w:val="22"/>
          <w:rtl w:val="0"/>
        </w:rPr>
        <w:t xml:space="preserve">Annexe - Déclaration d’intégrité, d'éligibilité et d'engagement environnemental et social</w:t>
      </w:r>
    </w:p>
    <w:p w:rsidR="00000000" w:rsidDel="00000000" w:rsidP="00000000" w:rsidRDefault="00000000" w:rsidRPr="00000000" w14:paraId="00000005">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spacing w:before="142" w:line="259" w:lineRule="auto"/>
        <w:jc w:val="both"/>
        <w:rPr>
          <w:rFonts w:ascii="Calibri" w:cs="Calibri" w:eastAsia="Calibri" w:hAnsi="Calibri"/>
        </w:rPr>
      </w:pPr>
      <w:r w:rsidDel="00000000" w:rsidR="00000000" w:rsidRPr="00000000">
        <w:rPr>
          <w:rFonts w:ascii="Calibri" w:cs="Calibri" w:eastAsia="Calibri" w:hAnsi="Calibri"/>
          <w:rtl w:val="0"/>
        </w:rPr>
        <w:t xml:space="preserve">Intitulé de l'appel d'offres : </w:t>
      </w:r>
      <w:r w:rsidDel="00000000" w:rsidR="00000000" w:rsidRPr="00000000">
        <w:rPr>
          <w:rFonts w:ascii="Calibri" w:cs="Calibri" w:eastAsia="Calibri" w:hAnsi="Calibri"/>
          <w:rtl w:val="0"/>
        </w:rPr>
        <w:t xml:space="preserve">Termes de référence Campagnes Télémarketing (upgrade et réactivation) 2025</w:t>
      </w:r>
      <w:r w:rsidDel="00000000" w:rsidR="00000000" w:rsidRPr="00000000">
        <w:rPr>
          <w:rFonts w:ascii="Calibri" w:cs="Calibri" w:eastAsia="Calibri" w:hAnsi="Calibri"/>
          <w:rtl w:val="0"/>
        </w:rPr>
        <w:t xml:space="preserve"> (le "</w:t>
      </w:r>
      <w:r w:rsidDel="00000000" w:rsidR="00000000" w:rsidRPr="00000000">
        <w:rPr>
          <w:rFonts w:ascii="Calibri" w:cs="Calibri" w:eastAsia="Calibri" w:hAnsi="Calibri"/>
          <w:b w:val="1"/>
          <w:rtl w:val="0"/>
        </w:rPr>
        <w:t xml:space="preserve">Marché</w:t>
      </w:r>
      <w:r w:rsidDel="00000000" w:rsidR="00000000" w:rsidRPr="00000000">
        <w:rPr>
          <w:rFonts w:ascii="Calibri" w:cs="Calibri" w:eastAsia="Calibri" w:hAnsi="Calibri"/>
          <w:rtl w:val="0"/>
        </w:rPr>
        <w:t xml:space="preserve">")</w:t>
      </w:r>
    </w:p>
    <w:p w:rsidR="00000000" w:rsidDel="00000000" w:rsidP="00000000" w:rsidRDefault="00000000" w:rsidRPr="00000000" w14:paraId="00000007">
      <w:pPr>
        <w:spacing w:before="142" w:line="259" w:lineRule="auto"/>
        <w:jc w:val="both"/>
        <w:rPr>
          <w:rFonts w:ascii="Calibri" w:cs="Calibri" w:eastAsia="Calibri" w:hAnsi="Calibri"/>
        </w:rPr>
      </w:pPr>
      <w:r w:rsidDel="00000000" w:rsidR="00000000" w:rsidRPr="00000000">
        <w:rPr>
          <w:rFonts w:ascii="Calibri" w:cs="Calibri" w:eastAsia="Calibri" w:hAnsi="Calibri"/>
          <w:rtl w:val="0"/>
        </w:rPr>
        <w:t xml:space="preserve">A : Coalition PLUS (le "</w:t>
      </w:r>
      <w:r w:rsidDel="00000000" w:rsidR="00000000" w:rsidRPr="00000000">
        <w:rPr>
          <w:rFonts w:ascii="Calibri" w:cs="Calibri" w:eastAsia="Calibri" w:hAnsi="Calibri"/>
          <w:b w:val="1"/>
          <w:rtl w:val="0"/>
        </w:rPr>
        <w:t xml:space="preserve">Maître d'Ouvrage</w:t>
      </w:r>
      <w:r w:rsidDel="00000000" w:rsidR="00000000" w:rsidRPr="00000000">
        <w:rPr>
          <w:rFonts w:ascii="Calibri" w:cs="Calibri" w:eastAsia="Calibri" w:hAnsi="Calibri"/>
          <w:rtl w:val="0"/>
        </w:rPr>
        <w:t xml:space="preserve">")</w:t>
      </w:r>
    </w:p>
    <w:p w:rsidR="00000000" w:rsidDel="00000000" w:rsidP="00000000" w:rsidRDefault="00000000" w:rsidRPr="00000000" w14:paraId="00000008">
      <w:pPr>
        <w:widowControl w:val="0"/>
        <w:spacing w:before="142" w:line="259"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Nous attestons que nous ne sommes pas, et qu'aucun des membres de notre groupement et de nos sous-traitants n'est, dans l'un des cas suivants :</w:t>
      </w:r>
    </w:p>
    <w:p w:rsidR="00000000" w:rsidDel="00000000" w:rsidP="00000000" w:rsidRDefault="00000000" w:rsidRPr="00000000" w14:paraId="00000009">
      <w:pPr>
        <w:widowControl w:val="0"/>
        <w:numPr>
          <w:ilvl w:val="0"/>
          <w:numId w:val="1"/>
        </w:numPr>
        <w:spacing w:after="0" w:afterAutospacing="0" w:before="142" w:line="259"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être en état ou avoir fait l'objet d'une procédure de faillite, de liquidation, de règlement judiciaire, de sauvegarde, de cessation d'activité ou être dans toute situation analogue résultant d'une procédure de même nature ;</w:t>
      </w:r>
    </w:p>
    <w:p w:rsidR="00000000" w:rsidDel="00000000" w:rsidP="00000000" w:rsidRDefault="00000000" w:rsidRPr="00000000" w14:paraId="0000000A">
      <w:pPr>
        <w:widowControl w:val="0"/>
        <w:numPr>
          <w:ilvl w:val="0"/>
          <w:numId w:val="1"/>
        </w:numPr>
        <w:tabs>
          <w:tab w:val="left" w:leader="none" w:pos="1260"/>
        </w:tabs>
        <w:spacing w:after="0" w:afterAutospacing="0" w:before="0" w:beforeAutospacing="0" w:line="259"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avoir fait l'objet d'une condamnation prononcée depuis moins de cinq ans par un jugement ayant force de chose jugée dans le pays de réalisation du Projet pour l'un des actes visés ci-après ou pour tout délit commis dans le cadre de la passation ou de l'exécution d'un marché</w:t>
      </w:r>
      <w:r w:rsidDel="00000000" w:rsidR="00000000" w:rsidRPr="00000000">
        <w:rPr>
          <w:rFonts w:ascii="Calibri" w:cs="Calibri" w:eastAsia="Calibri" w:hAnsi="Calibri"/>
          <w:vertAlign w:val="superscript"/>
        </w:rPr>
        <w:footnoteReference w:customMarkFollows="0" w:id="0"/>
      </w:r>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widowControl w:val="0"/>
        <w:numPr>
          <w:ilvl w:val="0"/>
          <w:numId w:val="1"/>
        </w:numPr>
        <w:tabs>
          <w:tab w:val="left" w:leader="none" w:pos="1260"/>
        </w:tabs>
        <w:spacing w:after="0" w:afterAutospacing="0" w:before="0" w:beforeAutospacing="0" w:line="259"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avoir fait l’objet 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Marché) ; </w:t>
      </w:r>
    </w:p>
    <w:p w:rsidR="00000000" w:rsidDel="00000000" w:rsidP="00000000" w:rsidRDefault="00000000" w:rsidRPr="00000000" w14:paraId="0000000C">
      <w:pPr>
        <w:widowControl w:val="0"/>
        <w:numPr>
          <w:ilvl w:val="0"/>
          <w:numId w:val="1"/>
        </w:numPr>
        <w:tabs>
          <w:tab w:val="left" w:leader="none" w:pos="1260"/>
        </w:tabs>
        <w:spacing w:after="0" w:afterAutospacing="0" w:before="0" w:beforeAutospacing="0" w:line="259"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figurer sur les Listes de Sanctions Financières adoptées par les Nations Unies, l'Union européenne et/ou la France, notamment au titre de la lutte contre le financement du terrorisme et contre les atteintes à la paix et à la sécurité internationales ;</w:t>
      </w:r>
    </w:p>
    <w:p w:rsidR="00000000" w:rsidDel="00000000" w:rsidP="00000000" w:rsidRDefault="00000000" w:rsidRPr="00000000" w14:paraId="0000000D">
      <w:pPr>
        <w:widowControl w:val="0"/>
        <w:numPr>
          <w:ilvl w:val="0"/>
          <w:numId w:val="1"/>
        </w:numPr>
        <w:tabs>
          <w:tab w:val="left" w:leader="none" w:pos="1260"/>
        </w:tabs>
        <w:spacing w:after="0" w:afterAutospacing="0" w:before="0" w:beforeAutospacing="0" w:line="259"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en matière professionnelle, avoir commis au cours des cinq dernières années une faute grave à l'occasion de la passation ou de l'exécution d'un marché ;</w:t>
      </w:r>
    </w:p>
    <w:p w:rsidR="00000000" w:rsidDel="00000000" w:rsidP="00000000" w:rsidRDefault="00000000" w:rsidRPr="00000000" w14:paraId="0000000E">
      <w:pPr>
        <w:widowControl w:val="0"/>
        <w:numPr>
          <w:ilvl w:val="0"/>
          <w:numId w:val="1"/>
        </w:numPr>
        <w:tabs>
          <w:tab w:val="left" w:leader="none" w:pos="1260"/>
        </w:tabs>
        <w:spacing w:after="0" w:afterAutospacing="0" w:before="0" w:beforeAutospacing="0" w:line="259"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n'avoir pas rempli nos obligations relatives au paiement des cotisations de sécurité sociale ou nos obligations relatives au paiement de nos impôts selon les dispositions légales du pays où nous sommes établis ou celles du pays du Maître d'Ouvrage ;</w:t>
      </w:r>
    </w:p>
    <w:p w:rsidR="00000000" w:rsidDel="00000000" w:rsidP="00000000" w:rsidRDefault="00000000" w:rsidRPr="00000000" w14:paraId="0000000F">
      <w:pPr>
        <w:widowControl w:val="0"/>
        <w:numPr>
          <w:ilvl w:val="0"/>
          <w:numId w:val="1"/>
        </w:numPr>
        <w:tabs>
          <w:tab w:val="left" w:leader="none" w:pos="1260"/>
        </w:tabs>
        <w:spacing w:after="0" w:afterAutospacing="0" w:before="0" w:beforeAutospacing="0" w:line="259"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avoir fait l'objet depuis moins de cinq ans d'une condamnation par un jugement ayant force de chose jugée pour l'un des actes visés ci-après ou pour tout délit commis   ;</w:t>
      </w:r>
    </w:p>
    <w:p w:rsidR="00000000" w:rsidDel="00000000" w:rsidP="00000000" w:rsidRDefault="00000000" w:rsidRPr="00000000" w14:paraId="00000010">
      <w:pPr>
        <w:widowControl w:val="0"/>
        <w:numPr>
          <w:ilvl w:val="0"/>
          <w:numId w:val="1"/>
        </w:numPr>
        <w:tabs>
          <w:tab w:val="left" w:leader="none" w:pos="1260"/>
        </w:tabs>
        <w:spacing w:after="0" w:afterAutospacing="0" w:before="0" w:beforeAutospacing="0" w:line="259"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être sous le coup d'une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décision d'exclusion prononcée par la Banque mondiale, à compter du 30 mai 2012, et figurer à ce titre sur la liste publiée à l'adresse électronique http://www.worldbank.org/debarr</w:t>
      </w:r>
      <w:r w:rsidDel="00000000" w:rsidR="00000000" w:rsidRPr="00000000">
        <w:rPr>
          <w:rFonts w:ascii="Calibri" w:cs="Calibri" w:eastAsia="Calibri" w:hAnsi="Calibri"/>
          <w:vertAlign w:val="superscript"/>
        </w:rPr>
        <w:footnoteReference w:customMarkFollows="0" w:id="1"/>
      </w:r>
      <w:r w:rsidDel="00000000" w:rsidR="00000000" w:rsidRPr="00000000">
        <w:rPr>
          <w:rFonts w:ascii="Calibri" w:cs="Calibri" w:eastAsia="Calibri" w:hAnsi="Calibri"/>
          <w:rtl w:val="0"/>
        </w:rPr>
        <w:t xml:space="preserve">;</w:t>
      </w:r>
    </w:p>
    <w:p w:rsidR="00000000" w:rsidDel="00000000" w:rsidP="00000000" w:rsidRDefault="00000000" w:rsidRPr="00000000" w14:paraId="00000011">
      <w:pPr>
        <w:widowControl w:val="0"/>
        <w:numPr>
          <w:ilvl w:val="0"/>
          <w:numId w:val="1"/>
        </w:numPr>
        <w:tabs>
          <w:tab w:val="left" w:leader="none" w:pos="1260"/>
        </w:tabs>
        <w:spacing w:before="0" w:beforeAutospacing="0" w:line="259"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s'être rendu coupable de fausses déclarations en fournissant les renseignements exigés dans le cadre du processus de passation du Marché.</w:t>
      </w:r>
    </w:p>
    <w:p w:rsidR="00000000" w:rsidDel="00000000" w:rsidP="00000000" w:rsidRDefault="00000000" w:rsidRPr="00000000" w14:paraId="00000012">
      <w:pPr>
        <w:widowControl w:val="0"/>
        <w:spacing w:before="142" w:line="259"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Dans le cadre de la passation et de l'exécution du Marché :</w:t>
      </w:r>
    </w:p>
    <w:p w:rsidR="00000000" w:rsidDel="00000000" w:rsidP="00000000" w:rsidRDefault="00000000" w:rsidRPr="00000000" w14:paraId="00000013">
      <w:pPr>
        <w:widowControl w:val="0"/>
        <w:numPr>
          <w:ilvl w:val="0"/>
          <w:numId w:val="2"/>
        </w:numPr>
        <w:spacing w:after="0" w:afterAutospacing="0" w:before="142" w:line="259"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rsidR="00000000" w:rsidDel="00000000" w:rsidP="00000000" w:rsidRDefault="00000000" w:rsidRPr="00000000" w14:paraId="00000014">
      <w:pPr>
        <w:widowControl w:val="0"/>
        <w:numPr>
          <w:ilvl w:val="0"/>
          <w:numId w:val="2"/>
        </w:numPr>
        <w:spacing w:after="0" w:afterAutospacing="0" w:before="0" w:beforeAutospacing="0" w:line="259"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Nous n'avons pas commis et nous ne commettrons pas de manœuvre déloyale (action ou omission) contraire à nos obligations légales ou réglementaires et/ou nos règles internes afin d'obtenir un bénéfice illégitime.</w:t>
      </w:r>
    </w:p>
    <w:p w:rsidR="00000000" w:rsidDel="00000000" w:rsidP="00000000" w:rsidRDefault="00000000" w:rsidRPr="00000000" w14:paraId="00000015">
      <w:pPr>
        <w:widowControl w:val="0"/>
        <w:numPr>
          <w:ilvl w:val="0"/>
          <w:numId w:val="2"/>
        </w:numPr>
        <w:spacing w:after="0" w:afterAutospacing="0" w:before="0" w:beforeAutospacing="0" w:line="259"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Nous n'avons pas promis, offert ou accordé et nous ne promettrons, offrirons ou accorderons pas, directement ou indirectement, à (i) toute personne détenant un mandat législatif, exécutif, administratif ou judiciaire au sein de l'Etat du Maître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Maître d'Ouvrage, un avantage indu de toute nature, pour lui-même ou pour une autre personne ou entité, afin qu'il accomplisse ou s'abstienne d'accomplir un acte dans l'exercice de ses fonctions officielles.</w:t>
      </w:r>
    </w:p>
    <w:p w:rsidR="00000000" w:rsidDel="00000000" w:rsidP="00000000" w:rsidRDefault="00000000" w:rsidRPr="00000000" w14:paraId="00000016">
      <w:pPr>
        <w:widowControl w:val="0"/>
        <w:numPr>
          <w:ilvl w:val="0"/>
          <w:numId w:val="2"/>
        </w:numPr>
        <w:spacing w:after="0" w:afterAutospacing="0" w:before="0" w:beforeAutospacing="0" w:line="259"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Nous n'avons pas promis, offert ou accordé et nous ne promettrons, offrirons ou accorderons pas, directement ou indirectement, à toute personne qui dirige une entité du secteur privé ou travaille pour une telle entité, en quelque qualité que se soit, un avantage indu de toute nature, pour elle-même ou pour une autre personne ou entité, afin qu'elle accomplisse ou s'abstienne d'accomplir un acte en violation de ses obligations légales, contractuelles ou professionnelles.</w:t>
      </w:r>
    </w:p>
    <w:p w:rsidR="00000000" w:rsidDel="00000000" w:rsidP="00000000" w:rsidRDefault="00000000" w:rsidRPr="00000000" w14:paraId="00000017">
      <w:pPr>
        <w:widowControl w:val="0"/>
        <w:numPr>
          <w:ilvl w:val="0"/>
          <w:numId w:val="2"/>
        </w:numPr>
        <w:spacing w:after="0" w:afterAutospacing="0" w:before="0" w:beforeAutospacing="0" w:line="259"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Nous n'avons pas commis et nous ne commettrons pas d'acte susceptible d'influencer le processus de passation du Marché au détriment du Maître d'Ouvrage et, notamment, aucune Pratique Anticoncurrentielle ayant pour objet ou pour effet d'empêcher, de restreindre ou de fausser le jeu de la concurrence, notamment en tendant à limiter l'accès au Marché ou le libre exercice de la concurrence par d'autres entreprises.</w:t>
      </w:r>
    </w:p>
    <w:p w:rsidR="00000000" w:rsidDel="00000000" w:rsidP="00000000" w:rsidRDefault="00000000" w:rsidRPr="00000000" w14:paraId="00000018">
      <w:pPr>
        <w:widowControl w:val="0"/>
        <w:numPr>
          <w:ilvl w:val="0"/>
          <w:numId w:val="2"/>
        </w:numPr>
        <w:spacing w:after="0" w:afterAutospacing="0" w:before="0" w:beforeAutospacing="0" w:line="259"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Nous-mêmes, ou l'un des membres de notre groupement, ou l'un des sous-traitants n'allons pas acquérir ou fournir de matériel et n'allons pas intervenir dans des secteurs sous Embargo des Nations Unies, de l'Union européenne ou de la France.</w:t>
      </w:r>
    </w:p>
    <w:p w:rsidR="00000000" w:rsidDel="00000000" w:rsidP="00000000" w:rsidRDefault="00000000" w:rsidRPr="00000000" w14:paraId="00000019">
      <w:pPr>
        <w:widowControl w:val="0"/>
        <w:numPr>
          <w:ilvl w:val="0"/>
          <w:numId w:val="2"/>
        </w:numPr>
        <w:spacing w:before="0" w:beforeAutospacing="0" w:line="259"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Nous nous engageons à respecter et à faire respecter par l'ensemble de nos sous-traitants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w:t>
      </w:r>
    </w:p>
    <w:p w:rsidR="00000000" w:rsidDel="00000000" w:rsidP="00000000" w:rsidRDefault="00000000" w:rsidRPr="00000000" w14:paraId="0000001A">
      <w:pPr>
        <w:widowControl w:val="0"/>
        <w:spacing w:before="142" w:line="259"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Nous nous engageons à communiquer sans délai au Maître d’Ouvrage, tout changement de notre situation au cours de la passation et le cas échéant l’exécution du marché, au regard de la présente déclaration.</w:t>
      </w:r>
    </w:p>
    <w:p w:rsidR="00000000" w:rsidDel="00000000" w:rsidP="00000000" w:rsidRDefault="00000000" w:rsidRPr="00000000" w14:paraId="0000001B">
      <w:pPr>
        <w:tabs>
          <w:tab w:val="right" w:leader="none" w:pos="4536"/>
          <w:tab w:val="left" w:leader="none" w:pos="4820"/>
          <w:tab w:val="right" w:leader="none" w:pos="9072"/>
        </w:tabs>
        <w:spacing w:before="142" w:line="259" w:lineRule="auto"/>
        <w:jc w:val="both"/>
        <w:rPr>
          <w:rFonts w:ascii="Calibri" w:cs="Calibri" w:eastAsia="Calibri" w:hAnsi="Calibri"/>
        </w:rPr>
      </w:pPr>
      <w:r w:rsidDel="00000000" w:rsidR="00000000" w:rsidRPr="00000000">
        <w:rPr>
          <w:rFonts w:ascii="Calibri" w:cs="Calibri" w:eastAsia="Calibri" w:hAnsi="Calibri"/>
          <w:rtl w:val="0"/>
        </w:rPr>
        <w:t xml:space="preserve">Nom : </w:t>
        <w:tab/>
        <w:tab/>
        <w:t xml:space="preserve">En tant que : </w:t>
        <w:tab/>
      </w:r>
    </w:p>
    <w:p w:rsidR="00000000" w:rsidDel="00000000" w:rsidP="00000000" w:rsidRDefault="00000000" w:rsidRPr="00000000" w14:paraId="0000001C">
      <w:pPr>
        <w:tabs>
          <w:tab w:val="right" w:leader="none" w:pos="4820"/>
        </w:tabs>
        <w:spacing w:before="142" w:line="259" w:lineRule="auto"/>
        <w:jc w:val="both"/>
        <w:rPr>
          <w:rFonts w:ascii="Calibri" w:cs="Calibri" w:eastAsia="Calibri" w:hAnsi="Calibri"/>
          <w:u w:val="single"/>
        </w:rPr>
      </w:pPr>
      <w:r w:rsidDel="00000000" w:rsidR="00000000" w:rsidRPr="00000000">
        <w:rPr>
          <w:rFonts w:ascii="Calibri" w:cs="Calibri" w:eastAsia="Calibri" w:hAnsi="Calibri"/>
          <w:rtl w:val="0"/>
        </w:rPr>
        <w:t xml:space="preserve">Signature :</w:t>
        <w:tab/>
      </w:r>
      <w:r w:rsidDel="00000000" w:rsidR="00000000" w:rsidRPr="00000000">
        <w:rPr>
          <w:rtl w:val="0"/>
        </w:rPr>
      </w:r>
    </w:p>
    <w:p w:rsidR="00000000" w:rsidDel="00000000" w:rsidP="00000000" w:rsidRDefault="00000000" w:rsidRPr="00000000" w14:paraId="0000001D">
      <w:pPr>
        <w:tabs>
          <w:tab w:val="right" w:leader="none" w:pos="9000"/>
        </w:tabs>
        <w:spacing w:before="142" w:line="259" w:lineRule="auto"/>
        <w:jc w:val="both"/>
        <w:rPr>
          <w:rFonts w:ascii="Calibri" w:cs="Calibri" w:eastAsia="Calibri" w:hAnsi="Calibri"/>
        </w:rPr>
      </w:pPr>
      <w:r w:rsidDel="00000000" w:rsidR="00000000" w:rsidRPr="00000000">
        <w:rPr>
          <w:rFonts w:ascii="Calibri" w:cs="Calibri" w:eastAsia="Calibri" w:hAnsi="Calibri"/>
          <w:rtl w:val="0"/>
        </w:rPr>
        <w:t xml:space="preserve">Dûment habilité à signer l'offre pour et au nom de</w:t>
      </w:r>
      <w:r w:rsidDel="00000000" w:rsidR="00000000" w:rsidRPr="00000000">
        <w:rPr>
          <w:rFonts w:ascii="Calibri" w:cs="Calibri" w:eastAsia="Calibri" w:hAnsi="Calibri"/>
          <w:vertAlign w:val="superscript"/>
        </w:rPr>
        <w:footnoteReference w:customMarkFollows="0" w:id="2"/>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ab/>
      </w:r>
      <w:r w:rsidDel="00000000" w:rsidR="00000000" w:rsidRPr="00000000">
        <w:rPr>
          <w:rtl w:val="0"/>
        </w:rPr>
      </w:r>
    </w:p>
    <w:p w:rsidR="00000000" w:rsidDel="00000000" w:rsidP="00000000" w:rsidRDefault="00000000" w:rsidRPr="00000000" w14:paraId="0000001E">
      <w:pPr>
        <w:tabs>
          <w:tab w:val="right" w:leader="none" w:pos="4536"/>
          <w:tab w:val="left" w:leader="none" w:pos="4820"/>
          <w:tab w:val="right" w:leader="none" w:pos="9072"/>
        </w:tabs>
        <w:spacing w:before="142" w:line="259" w:lineRule="auto"/>
        <w:jc w:val="both"/>
        <w:rPr>
          <w:rFonts w:ascii="Calibri" w:cs="Calibri" w:eastAsia="Calibri" w:hAnsi="Calibri"/>
        </w:rPr>
      </w:pPr>
      <w:r w:rsidDel="00000000" w:rsidR="00000000" w:rsidRPr="00000000">
        <w:rPr>
          <w:rFonts w:ascii="Calibri" w:cs="Calibri" w:eastAsia="Calibri" w:hAnsi="Calibri"/>
          <w:rtl w:val="0"/>
        </w:rPr>
        <w:t xml:space="preserve">En date du : </w:t>
        <w:tab/>
        <w:tab/>
        <w:t xml:space="preserve">jour de : </w:t>
        <w:tab/>
      </w:r>
    </w:p>
    <w:p w:rsidR="00000000" w:rsidDel="00000000" w:rsidP="00000000" w:rsidRDefault="00000000" w:rsidRPr="00000000" w14:paraId="0000001F">
      <w:pPr>
        <w:spacing w:before="142" w:line="259" w:lineRule="auto"/>
        <w:jc w:val="both"/>
        <w:rPr>
          <w:rFonts w:ascii="Calibri" w:cs="Calibri" w:eastAsia="Calibri" w:hAnsi="Calibri"/>
          <w:b w:val="1"/>
          <w:color w:val="1f497d"/>
          <w:sz w:val="24"/>
          <w:szCs w:val="24"/>
        </w:rPr>
      </w:pPr>
      <w:r w:rsidDel="00000000" w:rsidR="00000000" w:rsidRPr="00000000">
        <w:rPr>
          <w:rtl w:val="0"/>
        </w:rPr>
      </w:r>
    </w:p>
    <w:p w:rsidR="00000000" w:rsidDel="00000000" w:rsidP="00000000" w:rsidRDefault="00000000" w:rsidRPr="00000000" w14:paraId="00000020">
      <w:pPr>
        <w:widowControl w:val="0"/>
        <w:spacing w:before="245" w:line="240" w:lineRule="auto"/>
        <w:ind w:left="17" w:firstLine="0"/>
        <w:jc w:val="both"/>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2">
      <w:pPr>
        <w:tabs>
          <w:tab w:val="left" w:leader="none" w:pos="709"/>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566"/>
        </w:tabs>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Dans l’hypothèse d’une telle condamnation, vous pouvez joindre à cette Déclaration d’Intégrité les informations complémentaires qui permettront d’estimer que cette condamnation n’est pas pertinente dans le cadre de ce Marché.</w:t>
      </w:r>
    </w:p>
  </w:footnote>
  <w:footnote w:id="1">
    <w:p w:rsidR="00000000" w:rsidDel="00000000" w:rsidP="00000000" w:rsidRDefault="00000000" w:rsidRPr="00000000" w14:paraId="00000023">
      <w:pPr>
        <w:tabs>
          <w:tab w:val="left" w:leader="none" w:pos="709"/>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566"/>
        </w:tabs>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Dans l’hypothèse d’une telle décision d’exclusion, vous pouvez joindre à cette Déclaration d’Intégrité les informations complémentaires qui permettront d’estimer que cette décision exclusion n’est pas pertinente dans le cadre du Marché.</w:t>
      </w:r>
    </w:p>
  </w:footnote>
  <w:footnote w:id="2">
    <w:p w:rsidR="00000000" w:rsidDel="00000000" w:rsidP="00000000" w:rsidRDefault="00000000" w:rsidRPr="00000000" w14:paraId="00000024">
      <w:pPr>
        <w:tabs>
          <w:tab w:val="left" w:leader="none" w:pos="709"/>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566"/>
        </w:tabs>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En cas de groupement, inscrire le nom du Groupement. La personne signant l’offre au nom du Soumissionnaire joindra à l’Offre le Pouvoir confié par le Soumissionnaire.</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